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E3209C">
        <w:rPr>
          <w:rFonts w:eastAsia="宋体"/>
          <w:lang w:eastAsia="zh-CN"/>
        </w:rPr>
        <w:t xml:space="preserve">  </w:t>
      </w:r>
      <w:r w:rsidR="00AE16DB">
        <w:rPr>
          <w:rFonts w:eastAsia="宋体"/>
          <w:lang w:eastAsia="zh-CN"/>
        </w:rPr>
        <w:t xml:space="preserve"> </w:t>
      </w:r>
      <w:r w:rsidR="00055D27" w:rsidRPr="00055D27">
        <w:t>R4-2213726</w:t>
      </w:r>
    </w:p>
    <w:p w:rsidR="00675C27" w:rsidRPr="00444A16" w:rsidRDefault="009D7747" w:rsidP="00F71A33">
      <w:pPr>
        <w:pStyle w:val="a1"/>
        <w:rPr>
          <w:rFonts w:eastAsia="宋体"/>
          <w:lang w:eastAsia="zh-CN"/>
        </w:rPr>
      </w:pPr>
      <w:r>
        <w:rPr>
          <w:rFonts w:eastAsia="宋体"/>
          <w:lang w:eastAsia="zh-CN"/>
        </w:rPr>
        <w:t xml:space="preserve">Electronic Meeting, </w:t>
      </w:r>
      <w:r w:rsidR="00925909">
        <w:rPr>
          <w:rFonts w:eastAsia="宋体"/>
          <w:lang w:eastAsia="zh-CN"/>
        </w:rPr>
        <w:t>August</w:t>
      </w:r>
      <w:r w:rsidR="00261464">
        <w:rPr>
          <w:rFonts w:eastAsia="宋体"/>
          <w:lang w:eastAsia="zh-CN"/>
        </w:rPr>
        <w:t xml:space="preserve"> </w:t>
      </w:r>
      <w:r w:rsidR="002F425F">
        <w:rPr>
          <w:rFonts w:eastAsia="宋体"/>
          <w:lang w:eastAsia="zh-CN"/>
        </w:rPr>
        <w:t>15</w:t>
      </w:r>
      <w:r w:rsidR="00261464">
        <w:rPr>
          <w:rFonts w:eastAsia="宋体"/>
          <w:lang w:eastAsia="zh-CN"/>
        </w:rPr>
        <w:t xml:space="preserve"> – </w:t>
      </w:r>
      <w:r w:rsidR="002F425F">
        <w:rPr>
          <w:rFonts w:eastAsia="宋体"/>
          <w:lang w:eastAsia="zh-CN"/>
        </w:rPr>
        <w:t>26</w:t>
      </w:r>
      <w:r w:rsidR="0042456A">
        <w:rPr>
          <w:rFonts w:eastAsia="宋体"/>
          <w:lang w:eastAsia="zh-CN"/>
        </w:rPr>
        <w:t>,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27744">
        <w:rPr>
          <w:rFonts w:ascii="Arial" w:hAnsi="Arial" w:cs="Arial"/>
          <w:sz w:val="22"/>
        </w:rPr>
        <w:t xml:space="preserve">On </w:t>
      </w:r>
      <w:r w:rsidR="00DF69B5">
        <w:rPr>
          <w:rFonts w:ascii="Arial" w:hAnsi="Arial" w:cs="Arial"/>
          <w:sz w:val="22"/>
        </w:rPr>
        <w:t xml:space="preserve">FR1 </w:t>
      </w:r>
      <w:r w:rsidR="00927744">
        <w:rPr>
          <w:rFonts w:ascii="Arial" w:hAnsi="Arial" w:cs="Arial"/>
          <w:sz w:val="22"/>
        </w:rPr>
        <w:t xml:space="preserve">4Tx </w:t>
      </w:r>
      <w:r w:rsidR="00EB0760">
        <w:rPr>
          <w:rFonts w:ascii="Arial" w:hAnsi="Arial" w:cs="Arial"/>
          <w:sz w:val="22"/>
        </w:rPr>
        <w:t xml:space="preserve">UE </w:t>
      </w:r>
      <w:r w:rsidR="00927744">
        <w:rPr>
          <w:rFonts w:ascii="Arial" w:hAnsi="Arial" w:cs="Arial"/>
          <w:sz w:val="22"/>
        </w:rPr>
        <w:t>RF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55D27" w:rsidRPr="00055D27">
        <w:rPr>
          <w:rFonts w:ascii="Arial" w:hAnsi="Arial" w:cs="Arial"/>
          <w:sz w:val="22"/>
        </w:rPr>
        <w:t>11.6.2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E2746E" w:rsidRDefault="00D91563" w:rsidP="00AB1467">
      <w:pPr>
        <w:jc w:val="both"/>
      </w:pPr>
      <w:r>
        <w:t xml:space="preserve">In </w:t>
      </w:r>
      <w:r w:rsidR="00AB1467">
        <w:t>RAN</w:t>
      </w:r>
      <w:r w:rsidR="008B6EC4">
        <w:t>#9</w:t>
      </w:r>
      <w:r>
        <w:t>5e</w:t>
      </w:r>
      <w:r w:rsidR="008B6EC4">
        <w:t xml:space="preserve">, </w:t>
      </w:r>
      <w:r w:rsidR="008637C3">
        <w:t xml:space="preserve">Rel-18 WI for </w:t>
      </w:r>
      <w:r>
        <w:t xml:space="preserve">UE RF FR1 was approved </w:t>
      </w:r>
      <w:r w:rsidR="008637C3">
        <w:t>[1]</w:t>
      </w:r>
      <w:r w:rsidR="00EB0760">
        <w:t>, which includes an objective of 4Tx for CPE/FWA UE.</w:t>
      </w:r>
      <w:r w:rsidR="008637C3">
        <w:t xml:space="preserve"> </w:t>
      </w:r>
    </w:p>
    <w:tbl>
      <w:tblPr>
        <w:tblStyle w:val="TableGrid"/>
        <w:tblW w:w="0" w:type="auto"/>
        <w:tblLook w:val="04A0" w:firstRow="1" w:lastRow="0" w:firstColumn="1" w:lastColumn="0" w:noHBand="0" w:noVBand="1"/>
      </w:tblPr>
      <w:tblGrid>
        <w:gridCol w:w="9631"/>
      </w:tblGrid>
      <w:tr w:rsidR="00114D1F" w:rsidTr="00114D1F">
        <w:tc>
          <w:tcPr>
            <w:tcW w:w="9631" w:type="dxa"/>
          </w:tcPr>
          <w:p w:rsidR="00201672" w:rsidRPr="00303C89" w:rsidRDefault="00201672" w:rsidP="00201672">
            <w:pPr>
              <w:spacing w:after="120"/>
              <w:rPr>
                <w:b/>
                <w:lang w:val="en-US"/>
              </w:rPr>
            </w:pPr>
            <w:bookmarkStart w:id="2" w:name="OLE_LINK19"/>
            <w:r w:rsidRPr="00303C89">
              <w:rPr>
                <w:rFonts w:hint="eastAsia"/>
                <w:b/>
                <w:lang w:val="en-US"/>
              </w:rPr>
              <w:t xml:space="preserve">Enable 4Tx on a single carrier for CPE/FWA/vehicle/industrial devices </w:t>
            </w:r>
            <w:r>
              <w:rPr>
                <w:b/>
                <w:lang w:val="en-US"/>
              </w:rPr>
              <w:t>[</w:t>
            </w:r>
            <w:r>
              <w:rPr>
                <w:rFonts w:hint="eastAsia"/>
                <w:b/>
                <w:lang w:val="en-US"/>
              </w:rPr>
              <w:t>RAN4</w:t>
            </w:r>
            <w:r>
              <w:rPr>
                <w:b/>
                <w:lang w:val="en-US"/>
              </w:rPr>
              <w:t>]</w:t>
            </w:r>
          </w:p>
          <w:p w:rsidR="00201672" w:rsidRPr="00E05C89" w:rsidRDefault="00201672" w:rsidP="00201672">
            <w:pPr>
              <w:numPr>
                <w:ilvl w:val="0"/>
                <w:numId w:val="12"/>
              </w:numPr>
              <w:spacing w:after="0"/>
              <w:ind w:hanging="357"/>
              <w:rPr>
                <w:lang w:val="en-US"/>
              </w:rPr>
            </w:pPr>
            <w:r w:rsidRPr="00E05C89">
              <w:rPr>
                <w:lang w:val="en-US"/>
              </w:rPr>
              <w:t>Investigate framework and architecture Example bands:</w:t>
            </w:r>
          </w:p>
          <w:p w:rsidR="00201672" w:rsidRDefault="00201672" w:rsidP="00201672">
            <w:pPr>
              <w:numPr>
                <w:ilvl w:val="1"/>
                <w:numId w:val="12"/>
              </w:numPr>
              <w:spacing w:after="0"/>
              <w:ind w:hanging="357"/>
              <w:rPr>
                <w:lang w:val="en-US"/>
              </w:rPr>
            </w:pPr>
            <w:r w:rsidRPr="00E05C89">
              <w:rPr>
                <w:rFonts w:hint="eastAsia"/>
                <w:lang w:val="en-US"/>
              </w:rPr>
              <w:t xml:space="preserve">TDD bands: n41, </w:t>
            </w:r>
            <w:r>
              <w:rPr>
                <w:lang w:val="en-US"/>
              </w:rPr>
              <w:t>n77/n78</w:t>
            </w:r>
          </w:p>
          <w:p w:rsidR="00201672" w:rsidRPr="00E05C89" w:rsidRDefault="00201672" w:rsidP="00201672">
            <w:pPr>
              <w:numPr>
                <w:ilvl w:val="1"/>
                <w:numId w:val="12"/>
              </w:numPr>
              <w:spacing w:after="0"/>
              <w:ind w:hanging="357"/>
              <w:rPr>
                <w:lang w:val="en-US"/>
              </w:rPr>
            </w:pPr>
            <w:r w:rsidRPr="00E05C89">
              <w:rPr>
                <w:rFonts w:hint="eastAsia"/>
                <w:lang w:val="en-US"/>
              </w:rPr>
              <w:t>FDD bands: n1</w:t>
            </w:r>
          </w:p>
          <w:p w:rsidR="00201672" w:rsidRPr="00E05C89" w:rsidRDefault="00201672" w:rsidP="00201672">
            <w:pPr>
              <w:numPr>
                <w:ilvl w:val="2"/>
                <w:numId w:val="12"/>
              </w:numPr>
              <w:spacing w:after="0"/>
              <w:ind w:hanging="357"/>
              <w:rPr>
                <w:lang w:val="en-US"/>
              </w:rPr>
            </w:pPr>
            <w:r w:rsidRPr="00E05C89">
              <w:rPr>
                <w:lang w:val="en-US"/>
              </w:rPr>
              <w:t>Note 1: the total number of example bands should be limited to 3.</w:t>
            </w:r>
            <w:r>
              <w:rPr>
                <w:lang w:val="en-US"/>
              </w:rPr>
              <w:t xml:space="preserve"> n77/n78 are considered as one band during the study.</w:t>
            </w:r>
          </w:p>
          <w:p w:rsidR="00201672" w:rsidRPr="00E05C89" w:rsidRDefault="00201672" w:rsidP="00201672">
            <w:pPr>
              <w:numPr>
                <w:ilvl w:val="2"/>
                <w:numId w:val="12"/>
              </w:numPr>
              <w:spacing w:after="0"/>
              <w:ind w:hanging="357"/>
              <w:rPr>
                <w:lang w:val="en-US"/>
              </w:rPr>
            </w:pPr>
            <w:r w:rsidRPr="00E05C89">
              <w:rPr>
                <w:lang w:val="en-US"/>
              </w:rPr>
              <w:t>Note 2: other bands to be introduced in the release independent way later</w:t>
            </w:r>
            <w:r>
              <w:rPr>
                <w:lang w:val="en-US"/>
              </w:rPr>
              <w:t xml:space="preserve"> on</w:t>
            </w:r>
            <w:r w:rsidRPr="00E05C89">
              <w:rPr>
                <w:lang w:val="en-US"/>
              </w:rPr>
              <w:t xml:space="preserve"> from Rel-18</w:t>
            </w:r>
          </w:p>
          <w:p w:rsidR="00201672" w:rsidRPr="00E05C89" w:rsidRDefault="00201672" w:rsidP="00201672">
            <w:pPr>
              <w:numPr>
                <w:ilvl w:val="2"/>
                <w:numId w:val="12"/>
              </w:numPr>
              <w:spacing w:after="0"/>
              <w:ind w:hanging="357"/>
              <w:rPr>
                <w:lang w:val="en-US"/>
              </w:rPr>
            </w:pPr>
            <w:r w:rsidRPr="00E05C89">
              <w:rPr>
                <w:rFonts w:hint="eastAsia"/>
                <w:lang w:val="en-US"/>
              </w:rPr>
              <w:t>Note 3: specifying requirements for TDD bands has first priority</w:t>
            </w:r>
          </w:p>
          <w:p w:rsidR="00201672" w:rsidRPr="00E05C89" w:rsidRDefault="00201672" w:rsidP="00201672">
            <w:pPr>
              <w:numPr>
                <w:ilvl w:val="0"/>
                <w:numId w:val="12"/>
              </w:numPr>
              <w:spacing w:after="0"/>
              <w:ind w:hanging="357"/>
              <w:rPr>
                <w:lang w:val="en-US"/>
              </w:rPr>
            </w:pPr>
            <w:r w:rsidRPr="00E05C89">
              <w:rPr>
                <w:lang w:val="en-US"/>
              </w:rPr>
              <w:t xml:space="preserve">  Specify the UE RF requirements to support 4Tx</w:t>
            </w:r>
          </w:p>
          <w:p w:rsidR="00201672" w:rsidRPr="00E05C89" w:rsidRDefault="00201672" w:rsidP="00201672">
            <w:pPr>
              <w:numPr>
                <w:ilvl w:val="1"/>
                <w:numId w:val="12"/>
              </w:numPr>
              <w:spacing w:after="0"/>
              <w:ind w:hanging="357"/>
              <w:rPr>
                <w:lang w:val="en-US"/>
              </w:rPr>
            </w:pPr>
            <w:r w:rsidRPr="00E05C89">
              <w:rPr>
                <w:rFonts w:hint="eastAsia"/>
                <w:lang w:val="en-US"/>
              </w:rPr>
              <w:t>First priority: 4x4 UL MIMO</w:t>
            </w:r>
          </w:p>
          <w:p w:rsidR="00201672" w:rsidRDefault="00201672" w:rsidP="00201672">
            <w:pPr>
              <w:numPr>
                <w:ilvl w:val="1"/>
                <w:numId w:val="12"/>
              </w:numPr>
              <w:spacing w:after="0"/>
              <w:ind w:hanging="357"/>
              <w:rPr>
                <w:lang w:val="en-US"/>
              </w:rPr>
            </w:pPr>
            <w:r w:rsidRPr="00E05C89">
              <w:rPr>
                <w:rFonts w:hint="eastAsia"/>
                <w:lang w:val="en-US"/>
              </w:rPr>
              <w:t xml:space="preserve">Second priority: investigate and if necessary specify </w:t>
            </w:r>
            <w:proofErr w:type="spellStart"/>
            <w:r w:rsidRPr="00E05C89">
              <w:rPr>
                <w:rFonts w:hint="eastAsia"/>
                <w:lang w:val="en-US"/>
              </w:rPr>
              <w:t>TxD</w:t>
            </w:r>
            <w:proofErr w:type="spellEnd"/>
            <w:r w:rsidRPr="00E05C89">
              <w:rPr>
                <w:rFonts w:hint="eastAsia"/>
                <w:lang w:val="en-US"/>
              </w:rPr>
              <w:t xml:space="preserve"> requirement to support the same power class in UL MIMO and single antenna port </w:t>
            </w:r>
          </w:p>
          <w:p w:rsidR="00201672" w:rsidRPr="00E05C89" w:rsidRDefault="00201672" w:rsidP="00201672">
            <w:pPr>
              <w:numPr>
                <w:ilvl w:val="1"/>
                <w:numId w:val="12"/>
              </w:numPr>
              <w:spacing w:after="0"/>
              <w:ind w:hanging="357"/>
              <w:rPr>
                <w:lang w:val="en-US"/>
              </w:rPr>
            </w:pPr>
            <w:r w:rsidRPr="00E05C89">
              <w:rPr>
                <w:rFonts w:hint="eastAsia"/>
                <w:lang w:val="en-US"/>
              </w:rPr>
              <w:t>PA configuration assumption:</w:t>
            </w:r>
          </w:p>
          <w:p w:rsidR="00201672" w:rsidRPr="00E05C89" w:rsidRDefault="00201672" w:rsidP="00201672">
            <w:pPr>
              <w:numPr>
                <w:ilvl w:val="2"/>
                <w:numId w:val="12"/>
              </w:numPr>
              <w:spacing w:after="0"/>
              <w:ind w:hanging="357"/>
              <w:rPr>
                <w:lang w:val="en-US"/>
              </w:rPr>
            </w:pPr>
            <w:r w:rsidRPr="00E05C89">
              <w:rPr>
                <w:lang w:val="en-US"/>
              </w:rPr>
              <w:t>First priority: 4x23dBm</w:t>
            </w:r>
          </w:p>
          <w:p w:rsidR="00201672" w:rsidRPr="00E05C89" w:rsidRDefault="00201672" w:rsidP="00201672">
            <w:pPr>
              <w:numPr>
                <w:ilvl w:val="2"/>
                <w:numId w:val="12"/>
              </w:numPr>
              <w:spacing w:after="0"/>
              <w:ind w:hanging="357"/>
              <w:rPr>
                <w:lang w:val="en-US"/>
              </w:rPr>
            </w:pPr>
            <w:r w:rsidRPr="00E05C89">
              <w:rPr>
                <w:rFonts w:hint="eastAsia"/>
                <w:lang w:val="en-US"/>
              </w:rPr>
              <w:t>Second priority: 2x23dBm + 2x26dBm, 4x26dBm</w:t>
            </w:r>
          </w:p>
          <w:p w:rsidR="00201672" w:rsidRPr="00E05C89" w:rsidRDefault="00201672" w:rsidP="00201672">
            <w:pPr>
              <w:numPr>
                <w:ilvl w:val="1"/>
                <w:numId w:val="12"/>
              </w:numPr>
              <w:spacing w:after="0"/>
              <w:ind w:hanging="357"/>
              <w:rPr>
                <w:lang w:val="en-US"/>
              </w:rPr>
            </w:pPr>
            <w:r w:rsidRPr="00E05C89">
              <w:rPr>
                <w:rFonts w:hint="eastAsia"/>
                <w:lang w:val="en-US"/>
              </w:rPr>
              <w:t>UE power class</w:t>
            </w:r>
          </w:p>
          <w:p w:rsidR="00201672" w:rsidRPr="00E05C89" w:rsidRDefault="00201672" w:rsidP="00201672">
            <w:pPr>
              <w:numPr>
                <w:ilvl w:val="2"/>
                <w:numId w:val="12"/>
              </w:numPr>
              <w:spacing w:after="0"/>
              <w:ind w:hanging="357"/>
              <w:rPr>
                <w:lang w:val="en-US"/>
              </w:rPr>
            </w:pPr>
            <w:r w:rsidRPr="00E05C89">
              <w:rPr>
                <w:lang w:val="en-US"/>
              </w:rPr>
              <w:t>First priority: PC 1.5</w:t>
            </w:r>
          </w:p>
          <w:p w:rsidR="00201672" w:rsidRPr="00E05C89" w:rsidRDefault="00201672" w:rsidP="00201672">
            <w:pPr>
              <w:numPr>
                <w:ilvl w:val="2"/>
                <w:numId w:val="12"/>
              </w:numPr>
              <w:spacing w:after="0"/>
              <w:ind w:hanging="357"/>
              <w:rPr>
                <w:lang w:val="en-US"/>
              </w:rPr>
            </w:pPr>
            <w:r w:rsidRPr="00E05C89">
              <w:rPr>
                <w:lang w:val="en-US"/>
              </w:rPr>
              <w:t>Second priority: PC2/PC3, and/or new power class if needed</w:t>
            </w:r>
          </w:p>
          <w:p w:rsidR="00201672" w:rsidRDefault="00201672" w:rsidP="00201672">
            <w:pPr>
              <w:numPr>
                <w:ilvl w:val="2"/>
                <w:numId w:val="12"/>
              </w:numPr>
              <w:spacing w:after="0"/>
              <w:ind w:hanging="357"/>
              <w:rPr>
                <w:lang w:val="en-US"/>
              </w:rPr>
            </w:pPr>
            <w:r w:rsidRPr="00E05C89">
              <w:rPr>
                <w:lang w:val="en-US"/>
              </w:rPr>
              <w:t>Note 1: PC1.5 is only applicable for TDD bands</w:t>
            </w:r>
          </w:p>
          <w:p w:rsidR="00201672" w:rsidRPr="00E05C89" w:rsidRDefault="00201672" w:rsidP="00201672">
            <w:pPr>
              <w:numPr>
                <w:ilvl w:val="1"/>
                <w:numId w:val="12"/>
              </w:numPr>
              <w:spacing w:after="0"/>
              <w:rPr>
                <w:lang w:val="en-US"/>
              </w:rPr>
            </w:pPr>
            <w:r>
              <w:rPr>
                <w:lang w:val="en-US"/>
              </w:rPr>
              <w:t xml:space="preserve">Note: </w:t>
            </w:r>
            <w:r w:rsidRPr="00916521">
              <w:rPr>
                <w:lang w:val="en-US"/>
              </w:rPr>
              <w:t>detailed combinations for 2nd priority PA/UE power class assumptions are to be revisited in RAN#97</w:t>
            </w:r>
          </w:p>
          <w:p w:rsidR="00201672" w:rsidRPr="00916521" w:rsidRDefault="00201672" w:rsidP="00201672">
            <w:pPr>
              <w:numPr>
                <w:ilvl w:val="0"/>
                <w:numId w:val="12"/>
              </w:numPr>
              <w:spacing w:after="0"/>
              <w:ind w:hanging="357"/>
              <w:rPr>
                <w:lang w:val="en-US"/>
              </w:rPr>
            </w:pPr>
            <w:r>
              <w:rPr>
                <w:lang w:val="en-US"/>
              </w:rPr>
              <w:t>NOTE1</w:t>
            </w:r>
            <w:r w:rsidRPr="00F813A4">
              <w:rPr>
                <w:lang w:val="en-US"/>
              </w:rPr>
              <w:t>: Requirements are specified with phase approach.</w:t>
            </w:r>
            <w:r w:rsidRPr="00916521">
              <w:rPr>
                <w:lang w:val="en-US"/>
              </w:rPr>
              <w:t xml:space="preserve"> Objectives with 1st priority are considered first.</w:t>
            </w:r>
          </w:p>
          <w:p w:rsidR="00114D1F" w:rsidRPr="00201672" w:rsidRDefault="00201672" w:rsidP="00201672">
            <w:pPr>
              <w:numPr>
                <w:ilvl w:val="0"/>
                <w:numId w:val="12"/>
              </w:numPr>
              <w:spacing w:after="0"/>
              <w:ind w:hanging="357"/>
              <w:rPr>
                <w:lang w:val="en-US"/>
              </w:rPr>
            </w:pPr>
            <w:r w:rsidRPr="00916521">
              <w:rPr>
                <w:lang w:val="en-US"/>
              </w:rPr>
              <w:t>NOTE2: It is assumed the devices are equipped with 4Rx antennas for band n1 requirement definition.</w:t>
            </w:r>
            <w:bookmarkEnd w:id="2"/>
          </w:p>
        </w:tc>
        <w:bookmarkStart w:id="3" w:name="_GoBack"/>
        <w:bookmarkEnd w:id="3"/>
      </w:tr>
    </w:tbl>
    <w:p w:rsidR="008900E8" w:rsidRDefault="00D6342C" w:rsidP="00201672">
      <w:pPr>
        <w:spacing w:beforeLines="50" w:before="120"/>
        <w:jc w:val="both"/>
      </w:pPr>
      <w:r>
        <w:t>In this contribution, we</w:t>
      </w:r>
      <w:r w:rsidR="00EB0760">
        <w:t xml:space="preserve"> provide our initial thinking on the 4Tx UE RF requirements. </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712164" w:rsidRDefault="00F32DBC" w:rsidP="00712164">
      <w:pPr>
        <w:pStyle w:val="Heading2"/>
        <w:spacing w:after="240"/>
        <w:rPr>
          <w:lang w:eastAsia="zh-CN"/>
        </w:rPr>
      </w:pPr>
      <w:r>
        <w:rPr>
          <w:lang w:eastAsia="zh-CN"/>
        </w:rPr>
        <w:t xml:space="preserve">Power class and UE </w:t>
      </w:r>
      <w:r w:rsidR="00922C65">
        <w:rPr>
          <w:lang w:eastAsia="zh-CN"/>
        </w:rPr>
        <w:t>PA configurations</w:t>
      </w:r>
    </w:p>
    <w:p w:rsidR="00922C65" w:rsidRDefault="00922C65" w:rsidP="00F32DBC">
      <w:r>
        <w:rPr>
          <w:rFonts w:hint="eastAsia"/>
        </w:rPr>
        <w:t>F</w:t>
      </w:r>
      <w:r>
        <w:t xml:space="preserve">or a same power class, the UE architecture or PA configurations could be different, especially for HPUE which has higher power class than the default one. During the discussion in Rel-17 for </w:t>
      </w:r>
      <w:proofErr w:type="spellStart"/>
      <w:r>
        <w:t>TxD</w:t>
      </w:r>
      <w:proofErr w:type="spellEnd"/>
      <w:r>
        <w:t xml:space="preserve"> and UE RF FR1 WI, three different PA configurations have been discussed for 2Tx PC2 UE. Similar discussion also occurred during the establishment of Rel-18 WI in terms of 4Tx. </w:t>
      </w:r>
    </w:p>
    <w:p w:rsidR="00922C65" w:rsidRDefault="00922C65" w:rsidP="00F32DBC">
      <w:r>
        <w:rPr>
          <w:rFonts w:hint="eastAsia"/>
        </w:rPr>
        <w:t>T</w:t>
      </w:r>
      <w:r>
        <w:t>he following PA configurations are discussed:</w:t>
      </w:r>
    </w:p>
    <w:p w:rsidR="00922C65" w:rsidRPr="00E05C89" w:rsidRDefault="00922C65" w:rsidP="00922C65">
      <w:pPr>
        <w:numPr>
          <w:ilvl w:val="1"/>
          <w:numId w:val="12"/>
        </w:numPr>
        <w:spacing w:after="0"/>
        <w:ind w:hanging="357"/>
        <w:rPr>
          <w:lang w:val="en-US"/>
        </w:rPr>
      </w:pPr>
      <w:r w:rsidRPr="00E05C89">
        <w:rPr>
          <w:rFonts w:hint="eastAsia"/>
          <w:lang w:val="en-US"/>
        </w:rPr>
        <w:t>PA configuration assumption:</w:t>
      </w:r>
    </w:p>
    <w:p w:rsidR="00922C65" w:rsidRPr="00E05C89" w:rsidRDefault="00922C65" w:rsidP="00922C65">
      <w:pPr>
        <w:numPr>
          <w:ilvl w:val="2"/>
          <w:numId w:val="12"/>
        </w:numPr>
        <w:spacing w:after="0"/>
        <w:ind w:hanging="357"/>
        <w:rPr>
          <w:lang w:val="en-US"/>
        </w:rPr>
      </w:pPr>
      <w:r w:rsidRPr="00E05C89">
        <w:rPr>
          <w:lang w:val="en-US"/>
        </w:rPr>
        <w:t>First priority: 4x23dBm</w:t>
      </w:r>
    </w:p>
    <w:p w:rsidR="00922C65" w:rsidRPr="00E05C89" w:rsidRDefault="00922C65" w:rsidP="00922C65">
      <w:pPr>
        <w:numPr>
          <w:ilvl w:val="2"/>
          <w:numId w:val="12"/>
        </w:numPr>
        <w:spacing w:after="0"/>
        <w:ind w:hanging="357"/>
        <w:rPr>
          <w:lang w:val="en-US"/>
        </w:rPr>
      </w:pPr>
      <w:r w:rsidRPr="00E05C89">
        <w:rPr>
          <w:rFonts w:hint="eastAsia"/>
          <w:lang w:val="en-US"/>
        </w:rPr>
        <w:t>Second priority: 2x23dBm + 2x26dBm, 4x26dBm</w:t>
      </w:r>
    </w:p>
    <w:p w:rsidR="00922C65" w:rsidRDefault="00FD22E9" w:rsidP="00F32DBC">
      <w:r>
        <w:lastRenderedPageBreak/>
        <w:t xml:space="preserve">Since 4x23dBm has higher priority, we can focus on the requirement for PC1.5 UE with 4x23dBm implementation. From implementation perspective, most likely UE supporting 4Tx would use two separate transceiver chipsets, we don’t think 2x23+2x26dBm has any advantage for the UE implementation. </w:t>
      </w:r>
      <w:r w:rsidR="008A18E2">
        <w:t>Certainly,</w:t>
      </w:r>
      <w:r>
        <w:t xml:space="preserve"> the basic principle is that that requirements should be implementation agnostic</w:t>
      </w:r>
      <w:r w:rsidR="008A18E2">
        <w:t>. For the same power class, e.g. PC1.5 for 4Tx UE, our preference is not to have different RF requirements as we did for 2Tx UE in Rel-17. While for 4x26</w:t>
      </w:r>
      <w:r w:rsidR="00C63458">
        <w:t>dBm</w:t>
      </w:r>
      <w:r w:rsidR="008A18E2">
        <w:t>, whether higher power class can be introduced can be further considered after completion of the first priority requirements based on 4x23dBm PA configuration.</w:t>
      </w:r>
    </w:p>
    <w:p w:rsidR="006C2752" w:rsidRPr="00E52045" w:rsidRDefault="006C2752" w:rsidP="006C2752">
      <w:pPr>
        <w:rPr>
          <w:b/>
          <w:i/>
          <w:lang w:val="en-US"/>
        </w:rPr>
      </w:pPr>
      <w:r>
        <w:rPr>
          <w:b/>
          <w:i/>
        </w:rPr>
        <w:t>Proposal 1: It is proposed that PC1.5 requirements for 4Tx UE are just based on 4x23dBm PA configuration</w:t>
      </w:r>
      <w:r w:rsidR="00FF2C5F">
        <w:rPr>
          <w:b/>
          <w:i/>
        </w:rPr>
        <w:t>, and no different requirements for different PA configuration implementation for this power class.</w:t>
      </w:r>
    </w:p>
    <w:p w:rsidR="00FF2C5F" w:rsidRPr="00E52045" w:rsidRDefault="00FF2C5F" w:rsidP="00FF2C5F">
      <w:pPr>
        <w:rPr>
          <w:b/>
          <w:i/>
          <w:lang w:val="en-US"/>
        </w:rPr>
      </w:pPr>
      <w:r>
        <w:rPr>
          <w:b/>
          <w:i/>
        </w:rPr>
        <w:t>Proposal 2: PA configurations for other power classes can be further considered once the requirements for PC1.5 are completed.</w:t>
      </w:r>
    </w:p>
    <w:p w:rsidR="006C2752" w:rsidRPr="00FF2C5F" w:rsidRDefault="006C2752" w:rsidP="00F32DBC">
      <w:pPr>
        <w:rPr>
          <w:lang w:val="en-US"/>
        </w:rPr>
      </w:pPr>
    </w:p>
    <w:p w:rsidR="00F32DBC" w:rsidRDefault="00F32DBC" w:rsidP="00F32DBC">
      <w:pPr>
        <w:pStyle w:val="Heading2"/>
        <w:spacing w:after="240"/>
        <w:rPr>
          <w:rFonts w:eastAsiaTheme="minorEastAsia"/>
          <w:lang w:eastAsia="zh-CN"/>
        </w:rPr>
      </w:pPr>
      <w:r>
        <w:rPr>
          <w:rFonts w:eastAsiaTheme="minorEastAsia" w:hint="eastAsia"/>
          <w:lang w:eastAsia="zh-CN"/>
        </w:rPr>
        <w:t>M</w:t>
      </w:r>
      <w:r>
        <w:rPr>
          <w:rFonts w:eastAsiaTheme="minorEastAsia"/>
          <w:lang w:eastAsia="zh-CN"/>
        </w:rPr>
        <w:t>PR/A-MPR</w:t>
      </w:r>
    </w:p>
    <w:p w:rsidR="00F32DBC" w:rsidRDefault="00224439" w:rsidP="00F32DBC">
      <w:r>
        <w:t xml:space="preserve">When we had discussion of PC1.5 in previous release for PC2, the basic assumption is that the UE is implemented by 2x26dBm PA configuration. </w:t>
      </w:r>
      <w:proofErr w:type="gramStart"/>
      <w:r>
        <w:t>Thus</w:t>
      </w:r>
      <w:proofErr w:type="gramEnd"/>
      <w:r>
        <w:t xml:space="preserve"> to fulfil the max output power requirement for single port transmission, the UE has to utilize </w:t>
      </w:r>
      <w:proofErr w:type="spellStart"/>
      <w:r>
        <w:t>TxD</w:t>
      </w:r>
      <w:proofErr w:type="spellEnd"/>
      <w:r>
        <w:t xml:space="preserve">. If the assumption of PC1.5 for 4Tx is based on 4x23dBm, </w:t>
      </w:r>
      <w:proofErr w:type="spellStart"/>
      <w:r>
        <w:t>TxD</w:t>
      </w:r>
      <w:proofErr w:type="spellEnd"/>
      <w:r>
        <w:t xml:space="preserve"> is also necessary from implementation perspective. </w:t>
      </w:r>
    </w:p>
    <w:p w:rsidR="00224439" w:rsidRPr="00E52045" w:rsidRDefault="00224439" w:rsidP="00224439">
      <w:pPr>
        <w:rPr>
          <w:b/>
          <w:i/>
          <w:lang w:val="en-US"/>
        </w:rPr>
      </w:pPr>
      <w:r>
        <w:rPr>
          <w:b/>
          <w:i/>
        </w:rPr>
        <w:t xml:space="preserve">Observation 1: </w:t>
      </w:r>
      <w:proofErr w:type="spellStart"/>
      <w:r>
        <w:rPr>
          <w:b/>
          <w:i/>
        </w:rPr>
        <w:t>TxD</w:t>
      </w:r>
      <w:proofErr w:type="spellEnd"/>
      <w:r>
        <w:rPr>
          <w:b/>
          <w:i/>
        </w:rPr>
        <w:t xml:space="preserve"> is necessary for PC1.5 UE supporting 4Tx for 4x23dBm implementation assumption.</w:t>
      </w:r>
    </w:p>
    <w:p w:rsidR="00224439" w:rsidRDefault="00224439" w:rsidP="00F32DBC">
      <w:r>
        <w:rPr>
          <w:rFonts w:hint="eastAsia"/>
          <w:lang w:val="en-US"/>
        </w:rPr>
        <w:t>F</w:t>
      </w:r>
      <w:r>
        <w:rPr>
          <w:lang w:val="en-US"/>
        </w:rPr>
        <w:t xml:space="preserve">or PC1.5 MPR, there are two sets of MPR available in the specification for FWA UE, one set was defined in Rel-16, and the other one was updated in Rel-17 </w:t>
      </w:r>
      <w:r>
        <w:t xml:space="preserve">v17.3.0. Usually </w:t>
      </w:r>
      <w:r w:rsidR="00D9009F">
        <w:t xml:space="preserve">for 2Tx UE, due to the RIMD impact, measurement is utilized for specifying the MPR requirement. For 4Tx, it is expected that measure will play an important role in defining the requirement. Considering the isolation among 4 antennas could be worse than that for 2Tx, the improved MPR defined in Rel-17 for PC1.5 FWA UE may not a good reference. Companies may need to consider the evaluation assumptions firstly and perform measurement for 4Tx when necessary. </w:t>
      </w:r>
    </w:p>
    <w:p w:rsidR="00D9009F" w:rsidRPr="00D9009F" w:rsidRDefault="00D9009F" w:rsidP="00F32DBC">
      <w:pPr>
        <w:rPr>
          <w:b/>
          <w:i/>
        </w:rPr>
      </w:pPr>
      <w:r w:rsidRPr="00D9009F">
        <w:rPr>
          <w:b/>
          <w:i/>
        </w:rPr>
        <w:t xml:space="preserve">Proposal 3: </w:t>
      </w:r>
      <w:r>
        <w:rPr>
          <w:b/>
          <w:i/>
        </w:rPr>
        <w:t xml:space="preserve">It is proposed to agree evaluation assumptions </w:t>
      </w:r>
      <w:r w:rsidR="00D31F04">
        <w:rPr>
          <w:b/>
          <w:i/>
        </w:rPr>
        <w:t xml:space="preserve">firstly </w:t>
      </w:r>
      <w:r>
        <w:rPr>
          <w:b/>
          <w:i/>
        </w:rPr>
        <w:t>for 4Tx, and the initial</w:t>
      </w:r>
      <w:r w:rsidR="000F5B95">
        <w:rPr>
          <w:b/>
          <w:i/>
        </w:rPr>
        <w:t xml:space="preserve"> </w:t>
      </w:r>
      <w:r>
        <w:rPr>
          <w:b/>
          <w:i/>
        </w:rPr>
        <w:t xml:space="preserve">reference for the 4Tx </w:t>
      </w:r>
      <w:r w:rsidR="000F5B95">
        <w:rPr>
          <w:b/>
          <w:i/>
        </w:rPr>
        <w:t xml:space="preserve">MPR </w:t>
      </w:r>
      <w:r>
        <w:rPr>
          <w:b/>
          <w:i/>
        </w:rPr>
        <w:t>requirement could be that defined in Rel-1</w:t>
      </w:r>
      <w:r w:rsidR="00A76D3C">
        <w:rPr>
          <w:b/>
          <w:i/>
        </w:rPr>
        <w:t>6</w:t>
      </w:r>
      <w:r>
        <w:rPr>
          <w:b/>
          <w:i/>
        </w:rPr>
        <w:t xml:space="preserve"> for 2Tx</w:t>
      </w:r>
      <w:r w:rsidR="00FD2720">
        <w:rPr>
          <w:b/>
          <w:i/>
        </w:rPr>
        <w:t xml:space="preserve"> PC1.5</w:t>
      </w:r>
      <w:r>
        <w:rPr>
          <w:b/>
          <w:i/>
        </w:rPr>
        <w:t>.</w:t>
      </w:r>
    </w:p>
    <w:p w:rsidR="008764E1" w:rsidRDefault="008764E1" w:rsidP="008764E1">
      <w:r>
        <w:rPr>
          <w:rFonts w:hint="eastAsia"/>
        </w:rPr>
        <w:t>R</w:t>
      </w:r>
      <w:r>
        <w:t xml:space="preserve">egarding power class other than PC1.5, </w:t>
      </w:r>
      <w:r>
        <w:rPr>
          <w:rFonts w:hint="eastAsia"/>
        </w:rPr>
        <w:t>currently</w:t>
      </w:r>
      <w:r>
        <w:t xml:space="preserve"> PC2/PC3 </w:t>
      </w:r>
      <w:r>
        <w:rPr>
          <w:rFonts w:hint="eastAsia"/>
        </w:rPr>
        <w:t>are</w:t>
      </w:r>
      <w:r>
        <w:t xml:space="preserve"> considered as second priority. It is known that power class </w:t>
      </w:r>
      <w:proofErr w:type="spellStart"/>
      <w:r>
        <w:t>fallback</w:t>
      </w:r>
      <w:proofErr w:type="spellEnd"/>
      <w:r>
        <w:t xml:space="preserve"> is considered in the spec once the UL </w:t>
      </w:r>
      <w:proofErr w:type="spellStart"/>
      <w:r>
        <w:t>dutycycle</w:t>
      </w:r>
      <w:proofErr w:type="spellEnd"/>
      <w:r>
        <w:t xml:space="preserve"> exceeds the UE capability. In that case, both PC2 and PC3 could follow the existing requirements for 2Tx, especially for MPR/A-MPR.</w:t>
      </w:r>
    </w:p>
    <w:p w:rsidR="00D9009F" w:rsidRPr="00D9009F" w:rsidRDefault="00D9009F" w:rsidP="00D9009F">
      <w:pPr>
        <w:rPr>
          <w:b/>
          <w:i/>
        </w:rPr>
      </w:pPr>
      <w:r w:rsidRPr="00D9009F">
        <w:rPr>
          <w:b/>
          <w:i/>
        </w:rPr>
        <w:t xml:space="preserve">Proposal </w:t>
      </w:r>
      <w:r>
        <w:rPr>
          <w:b/>
          <w:i/>
        </w:rPr>
        <w:t>4</w:t>
      </w:r>
      <w:r w:rsidRPr="00D9009F">
        <w:rPr>
          <w:b/>
          <w:i/>
        </w:rPr>
        <w:t xml:space="preserve">: </w:t>
      </w:r>
      <w:r>
        <w:rPr>
          <w:b/>
          <w:i/>
        </w:rPr>
        <w:t xml:space="preserve">It is proposed to only consider PC2 and PC3 as </w:t>
      </w:r>
      <w:proofErr w:type="spellStart"/>
      <w:r>
        <w:rPr>
          <w:b/>
          <w:i/>
        </w:rPr>
        <w:t>fallback</w:t>
      </w:r>
      <w:proofErr w:type="spellEnd"/>
      <w:r>
        <w:rPr>
          <w:b/>
          <w:i/>
        </w:rPr>
        <w:t xml:space="preserve"> power class for PC1.5 UE, and existing PC2/PC3 MPR/A-MPR requirements for 2Tx could be reused for the </w:t>
      </w:r>
      <w:proofErr w:type="spellStart"/>
      <w:r>
        <w:rPr>
          <w:b/>
          <w:i/>
        </w:rPr>
        <w:t>fallback</w:t>
      </w:r>
      <w:proofErr w:type="spellEnd"/>
      <w:r>
        <w:rPr>
          <w:b/>
          <w:i/>
        </w:rPr>
        <w:t xml:space="preserve"> mode for 4Tx PC1.5 UE.</w:t>
      </w:r>
    </w:p>
    <w:p w:rsidR="00F32DBC" w:rsidRDefault="00995944" w:rsidP="00F32DBC">
      <w:r>
        <w:rPr>
          <w:rFonts w:hint="eastAsia"/>
        </w:rPr>
        <w:t>A</w:t>
      </w:r>
      <w:r>
        <w:t xml:space="preserve">ccording to the WID objectives, PC1.5 is only considered for TDD bands. While for the current selected TDD bands in 2.6GHz and 3.5GHz, only band n41 needs to consider band specific A-MPR requirement. </w:t>
      </w:r>
      <w:proofErr w:type="gramStart"/>
      <w:r>
        <w:t>Similar</w:t>
      </w:r>
      <w:proofErr w:type="gramEnd"/>
      <w:r>
        <w:t xml:space="preserve"> the to previous discussion for 2Tx A-MPR for n41, some further evaluation including measurement is necessary for specifying the 4Tx PC1.5 A-MPR requirement for n41.</w:t>
      </w:r>
    </w:p>
    <w:p w:rsidR="00055D27" w:rsidRDefault="00055D27" w:rsidP="00F32DBC">
      <w:pPr>
        <w:rPr>
          <w:rFonts w:hint="eastAsia"/>
        </w:rPr>
      </w:pPr>
    </w:p>
    <w:p w:rsidR="00F32DBC" w:rsidRDefault="00F32DBC" w:rsidP="00F32DBC">
      <w:pPr>
        <w:pStyle w:val="Heading2"/>
        <w:spacing w:after="240"/>
        <w:rPr>
          <w:rFonts w:eastAsiaTheme="minorEastAsia"/>
          <w:lang w:eastAsia="zh-CN"/>
        </w:rPr>
      </w:pPr>
      <w:r>
        <w:rPr>
          <w:rFonts w:eastAsiaTheme="minorEastAsia" w:hint="eastAsia"/>
          <w:lang w:eastAsia="zh-CN"/>
        </w:rPr>
        <w:t>M</w:t>
      </w:r>
      <w:r>
        <w:rPr>
          <w:rFonts w:eastAsiaTheme="minorEastAsia"/>
          <w:lang w:eastAsia="zh-CN"/>
        </w:rPr>
        <w:t>IMO requirement</w:t>
      </w:r>
    </w:p>
    <w:p w:rsidR="00F32DBC" w:rsidRDefault="00A058E7" w:rsidP="00F32DBC">
      <w:r>
        <w:t xml:space="preserve">For 2Tx UL MIMO, some MIMO related parameters are captured in the specification, e.g. codebook for measurement configuration, DCI format as well as TPMI index. </w:t>
      </w:r>
    </w:p>
    <w:p w:rsidR="00A058E7" w:rsidRDefault="00A058E7" w:rsidP="00F32DBC">
      <w:r>
        <w:rPr>
          <w:rFonts w:hint="eastAsia"/>
        </w:rPr>
        <w:t>F</w:t>
      </w:r>
      <w:r>
        <w:t>or non-full power transmission modes, the following codebook is proposed to be selected as UL MIMO configuration for 4-layer MIMO.</w:t>
      </w:r>
    </w:p>
    <w:p w:rsidR="00A058E7" w:rsidRDefault="00A058E7" w:rsidP="00F32DBC">
      <w:pPr>
        <w:rPr>
          <w:rFonts w:eastAsia="Batang"/>
        </w:rPr>
      </w:pPr>
      <w:r w:rsidRPr="009408AF">
        <w:rPr>
          <w:rFonts w:eastAsia="Batang"/>
          <w:position w:val="-56"/>
        </w:rPr>
        <w:object w:dxaOrig="1359"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0.1pt" o:ole="">
            <v:imagedata r:id="rId8" o:title=""/>
          </v:shape>
          <o:OLEObject Type="Embed" ProgID="Equation.3" ShapeID="_x0000_i1025" DrawAspect="Content" ObjectID="_1721683484" r:id="rId9"/>
        </w:object>
      </w:r>
    </w:p>
    <w:p w:rsidR="00A058E7" w:rsidRDefault="00A058E7" w:rsidP="00F32DBC">
      <w:r>
        <w:rPr>
          <w:rFonts w:hint="eastAsia"/>
        </w:rPr>
        <w:lastRenderedPageBreak/>
        <w:t>R</w:t>
      </w:r>
      <w:r>
        <w:t xml:space="preserve">egarding full power transmission, parameters shall be updated as well. Particularly, some </w:t>
      </w:r>
      <w:proofErr w:type="spellStart"/>
      <w:r>
        <w:t>ULFPTx</w:t>
      </w:r>
      <w:proofErr w:type="spellEnd"/>
      <w:r>
        <w:t xml:space="preserve"> may not be feasible for PC1.5. </w:t>
      </w:r>
    </w:p>
    <w:p w:rsidR="00A058E7" w:rsidRDefault="00A058E7" w:rsidP="00F32DBC">
      <w:r>
        <w:t>As discussed in section 2.1, we propose to consider the requirement based on 4x23d</w:t>
      </w:r>
      <w:r>
        <w:rPr>
          <w:rFonts w:hint="eastAsia"/>
        </w:rPr>
        <w:t>B</w:t>
      </w:r>
      <w:r>
        <w:t xml:space="preserve">m implementation. For this kind of PA configuration, UE could indicate </w:t>
      </w:r>
      <w:proofErr w:type="spellStart"/>
      <w:r>
        <w:t>ULFPTx</w:t>
      </w:r>
      <w:proofErr w:type="spellEnd"/>
      <w:r>
        <w:t xml:space="preserve"> mode 1. While there is no single Tx chain is supposed to transmit 29dBm output power, it is not possible for a PC1.5UE supporting 4Tx to indicate </w:t>
      </w:r>
      <w:proofErr w:type="spellStart"/>
      <w:r>
        <w:t>ULFPTx</w:t>
      </w:r>
      <w:proofErr w:type="spellEnd"/>
      <w:r>
        <w:t xml:space="preserve"> mode 2. As for </w:t>
      </w:r>
      <w:proofErr w:type="spellStart"/>
      <w:r>
        <w:t>ULFPTx</w:t>
      </w:r>
      <w:proofErr w:type="spellEnd"/>
      <w:r>
        <w:t xml:space="preserve"> mode 2, it could be mapped to more PA configurations, but at lest two Tx could deliver 26dBm output power and utilize antenna virtualization which is not favoured by some companies in Rel-17 for 2Tx case for mode 2.</w:t>
      </w:r>
    </w:p>
    <w:p w:rsidR="00A058E7" w:rsidRDefault="00A058E7" w:rsidP="00A058E7">
      <w:pPr>
        <w:rPr>
          <w:b/>
          <w:i/>
        </w:rPr>
      </w:pPr>
      <w:r>
        <w:rPr>
          <w:b/>
          <w:i/>
        </w:rPr>
        <w:t>Proposal 5: MIMO configurations should be updated for 4Tx to align with RAN1 specification.</w:t>
      </w:r>
    </w:p>
    <w:p w:rsidR="00A058E7" w:rsidRDefault="00A058E7" w:rsidP="00F32DBC">
      <w:pPr>
        <w:rPr>
          <w:b/>
          <w:i/>
          <w:lang w:val="en-US"/>
        </w:rPr>
      </w:pPr>
      <w:r>
        <w:rPr>
          <w:rFonts w:hint="eastAsia"/>
          <w:b/>
          <w:i/>
          <w:lang w:val="en-US"/>
        </w:rPr>
        <w:t>P</w:t>
      </w:r>
      <w:r>
        <w:rPr>
          <w:b/>
          <w:i/>
          <w:lang w:val="en-US"/>
        </w:rPr>
        <w:t xml:space="preserve">roposal 6: For PC1.5 UE supporting 4Tx </w:t>
      </w:r>
      <w:proofErr w:type="spellStart"/>
      <w:r>
        <w:rPr>
          <w:b/>
          <w:i/>
          <w:lang w:val="en-US"/>
        </w:rPr>
        <w:t>ULFPTx</w:t>
      </w:r>
      <w:proofErr w:type="spellEnd"/>
      <w:r>
        <w:rPr>
          <w:b/>
          <w:i/>
          <w:lang w:val="en-US"/>
        </w:rPr>
        <w:t xml:space="preserve"> modes, some PA configurations should be ruled out, and in turn it could affect the reported </w:t>
      </w:r>
      <w:proofErr w:type="spellStart"/>
      <w:r>
        <w:rPr>
          <w:b/>
          <w:i/>
          <w:lang w:val="en-US"/>
        </w:rPr>
        <w:t>ULFPTx</w:t>
      </w:r>
      <w:proofErr w:type="spellEnd"/>
      <w:r>
        <w:rPr>
          <w:b/>
          <w:i/>
          <w:lang w:val="en-US"/>
        </w:rPr>
        <w:t xml:space="preserve"> modes for 4Tx UE</w:t>
      </w:r>
      <w:r w:rsidR="001908BC">
        <w:rPr>
          <w:b/>
          <w:i/>
          <w:lang w:val="en-US"/>
        </w:rPr>
        <w:t xml:space="preserve"> and reduce some unnecessary TPMI indexe</w:t>
      </w:r>
      <w:r w:rsidR="001B1841">
        <w:rPr>
          <w:b/>
          <w:i/>
          <w:lang w:val="en-US"/>
        </w:rPr>
        <w:t>s</w:t>
      </w:r>
      <w:r>
        <w:rPr>
          <w:b/>
          <w:i/>
          <w:lang w:val="en-US"/>
        </w:rPr>
        <w:t>.</w:t>
      </w:r>
    </w:p>
    <w:p w:rsidR="00A058E7" w:rsidRPr="00A058E7" w:rsidRDefault="00A058E7" w:rsidP="00F32DBC">
      <w:pPr>
        <w:rPr>
          <w:lang w:val="en-US"/>
        </w:rPr>
      </w:pPr>
      <w:r>
        <w:rPr>
          <w:rFonts w:hint="eastAsia"/>
          <w:lang w:val="en-US"/>
        </w:rPr>
        <w:t>M</w:t>
      </w:r>
      <w:r>
        <w:rPr>
          <w:lang w:val="en-US"/>
        </w:rPr>
        <w:t xml:space="preserve">ore analysis is needed for </w:t>
      </w:r>
      <w:proofErr w:type="spellStart"/>
      <w:r>
        <w:rPr>
          <w:lang w:val="en-US"/>
        </w:rPr>
        <w:t>ULFPTx</w:t>
      </w:r>
      <w:proofErr w:type="spellEnd"/>
      <w:r>
        <w:rPr>
          <w:lang w:val="en-US"/>
        </w:rPr>
        <w:t xml:space="preserve"> requirements for 4Tx.</w:t>
      </w:r>
    </w:p>
    <w:p w:rsidR="00201672" w:rsidRDefault="00201672" w:rsidP="00201672">
      <w:pPr>
        <w:pStyle w:val="Heading1"/>
        <w:spacing w:after="240"/>
        <w:rPr>
          <w:rFonts w:eastAsia="宋体"/>
          <w:lang w:eastAsia="zh-CN"/>
        </w:rPr>
      </w:pPr>
      <w:r>
        <w:rPr>
          <w:rFonts w:eastAsia="宋体"/>
          <w:lang w:eastAsia="zh-CN"/>
        </w:rPr>
        <w:t>Conclusion</w:t>
      </w:r>
    </w:p>
    <w:p w:rsidR="00286DAE" w:rsidRDefault="00A058E7" w:rsidP="00AA2D97">
      <w:pPr>
        <w:jc w:val="both"/>
        <w:rPr>
          <w:lang w:val="en-US"/>
        </w:rPr>
      </w:pPr>
      <w:r>
        <w:rPr>
          <w:rFonts w:hint="eastAsia"/>
          <w:lang w:val="en-US"/>
        </w:rPr>
        <w:t>T</w:t>
      </w:r>
      <w:r>
        <w:rPr>
          <w:lang w:val="en-US"/>
        </w:rPr>
        <w:t>his contribution provides our initial consideration for 4Tx. Some proposals are listed as below for further discussion:</w:t>
      </w:r>
    </w:p>
    <w:p w:rsidR="00A058E7" w:rsidRPr="00E52045" w:rsidRDefault="00A058E7" w:rsidP="00A058E7">
      <w:pPr>
        <w:rPr>
          <w:b/>
          <w:i/>
          <w:lang w:val="en-US"/>
        </w:rPr>
      </w:pPr>
      <w:r>
        <w:rPr>
          <w:b/>
          <w:i/>
        </w:rPr>
        <w:t>Proposal 1: It is proposed that PC1.5 requirements for 4Tx UE are just based on 4x23dBm PA configuration, and no different requirements for different PA configuration implementation for this power class.</w:t>
      </w:r>
    </w:p>
    <w:p w:rsidR="00A058E7" w:rsidRPr="00E52045" w:rsidRDefault="00A058E7" w:rsidP="00A058E7">
      <w:pPr>
        <w:rPr>
          <w:b/>
          <w:i/>
          <w:lang w:val="en-US"/>
        </w:rPr>
      </w:pPr>
      <w:r>
        <w:rPr>
          <w:b/>
          <w:i/>
        </w:rPr>
        <w:t>Proposal 2: PA configurations for other power classes can be further considered once the requirements for PC1.5 are completed.</w:t>
      </w:r>
    </w:p>
    <w:p w:rsidR="00A058E7" w:rsidRPr="00D9009F" w:rsidRDefault="00A058E7" w:rsidP="00A058E7">
      <w:pPr>
        <w:rPr>
          <w:b/>
          <w:i/>
        </w:rPr>
      </w:pPr>
      <w:r w:rsidRPr="00D9009F">
        <w:rPr>
          <w:b/>
          <w:i/>
        </w:rPr>
        <w:t xml:space="preserve">Proposal 3: </w:t>
      </w:r>
      <w:r>
        <w:rPr>
          <w:b/>
          <w:i/>
        </w:rPr>
        <w:t>It is proposed to agree evaluation assumptions firstly for 4Tx, and the initial reference for the 4Tx MPR requirement could be that defined in Rel-16 for 2Tx PC1.5.</w:t>
      </w:r>
    </w:p>
    <w:p w:rsidR="00A058E7" w:rsidRPr="00D9009F" w:rsidRDefault="00A058E7" w:rsidP="00A058E7">
      <w:pPr>
        <w:rPr>
          <w:b/>
          <w:i/>
        </w:rPr>
      </w:pPr>
      <w:r w:rsidRPr="00D9009F">
        <w:rPr>
          <w:b/>
          <w:i/>
        </w:rPr>
        <w:t xml:space="preserve">Proposal </w:t>
      </w:r>
      <w:r>
        <w:rPr>
          <w:b/>
          <w:i/>
        </w:rPr>
        <w:t>4</w:t>
      </w:r>
      <w:r w:rsidRPr="00D9009F">
        <w:rPr>
          <w:b/>
          <w:i/>
        </w:rPr>
        <w:t xml:space="preserve">: </w:t>
      </w:r>
      <w:r>
        <w:rPr>
          <w:b/>
          <w:i/>
        </w:rPr>
        <w:t xml:space="preserve">It is proposed to only consider PC2 and PC3 as </w:t>
      </w:r>
      <w:proofErr w:type="spellStart"/>
      <w:r>
        <w:rPr>
          <w:b/>
          <w:i/>
        </w:rPr>
        <w:t>fallback</w:t>
      </w:r>
      <w:proofErr w:type="spellEnd"/>
      <w:r>
        <w:rPr>
          <w:b/>
          <w:i/>
        </w:rPr>
        <w:t xml:space="preserve"> power class for PC1.5 UE, and existing PC2/PC3 MPR/A-MPR requirements for 2Tx could be reused for the </w:t>
      </w:r>
      <w:proofErr w:type="spellStart"/>
      <w:r>
        <w:rPr>
          <w:b/>
          <w:i/>
        </w:rPr>
        <w:t>fallback</w:t>
      </w:r>
      <w:proofErr w:type="spellEnd"/>
      <w:r>
        <w:rPr>
          <w:b/>
          <w:i/>
        </w:rPr>
        <w:t xml:space="preserve"> mode for 4Tx PC1.5 UE.</w:t>
      </w:r>
    </w:p>
    <w:p w:rsidR="00A058E7" w:rsidRDefault="00A058E7" w:rsidP="00A058E7">
      <w:pPr>
        <w:rPr>
          <w:b/>
          <w:i/>
        </w:rPr>
      </w:pPr>
      <w:r>
        <w:rPr>
          <w:b/>
          <w:i/>
        </w:rPr>
        <w:t>Proposal 5: MIMO configurations should be updated for 4Tx to align with RAN1 specification.</w:t>
      </w:r>
    </w:p>
    <w:p w:rsidR="00A058E7" w:rsidRDefault="00A058E7" w:rsidP="00A058E7">
      <w:pPr>
        <w:rPr>
          <w:b/>
          <w:i/>
          <w:lang w:val="en-US"/>
        </w:rPr>
      </w:pPr>
      <w:r>
        <w:rPr>
          <w:rFonts w:hint="eastAsia"/>
          <w:b/>
          <w:i/>
          <w:lang w:val="en-US"/>
        </w:rPr>
        <w:t>P</w:t>
      </w:r>
      <w:r>
        <w:rPr>
          <w:b/>
          <w:i/>
          <w:lang w:val="en-US"/>
        </w:rPr>
        <w:t xml:space="preserve">roposal 6: For PC1.5 UE supporting 4Tx </w:t>
      </w:r>
      <w:proofErr w:type="spellStart"/>
      <w:r>
        <w:rPr>
          <w:b/>
          <w:i/>
          <w:lang w:val="en-US"/>
        </w:rPr>
        <w:t>ULFPTx</w:t>
      </w:r>
      <w:proofErr w:type="spellEnd"/>
      <w:r>
        <w:rPr>
          <w:b/>
          <w:i/>
          <w:lang w:val="en-US"/>
        </w:rPr>
        <w:t xml:space="preserve"> modes, some PA configurations should be ruled out, and in turn it could affect the reported </w:t>
      </w:r>
      <w:proofErr w:type="spellStart"/>
      <w:r>
        <w:rPr>
          <w:b/>
          <w:i/>
          <w:lang w:val="en-US"/>
        </w:rPr>
        <w:t>ULFPTx</w:t>
      </w:r>
      <w:proofErr w:type="spellEnd"/>
      <w:r>
        <w:rPr>
          <w:b/>
          <w:i/>
          <w:lang w:val="en-US"/>
        </w:rPr>
        <w:t xml:space="preserve"> modes for 4Tx UE</w:t>
      </w:r>
      <w:r w:rsidR="005E6B56">
        <w:rPr>
          <w:b/>
          <w:i/>
          <w:lang w:val="en-US"/>
        </w:rPr>
        <w:t xml:space="preserve"> </w:t>
      </w:r>
      <w:r w:rsidR="001908BC">
        <w:rPr>
          <w:b/>
          <w:i/>
          <w:lang w:val="en-US"/>
        </w:rPr>
        <w:t>and</w:t>
      </w:r>
      <w:r w:rsidR="005E6B56">
        <w:rPr>
          <w:b/>
          <w:i/>
          <w:lang w:val="en-US"/>
        </w:rPr>
        <w:t xml:space="preserve"> redu</w:t>
      </w:r>
      <w:r w:rsidR="001908BC">
        <w:rPr>
          <w:b/>
          <w:i/>
          <w:lang w:val="en-US"/>
        </w:rPr>
        <w:t>ce</w:t>
      </w:r>
      <w:r w:rsidR="005E6B56">
        <w:rPr>
          <w:b/>
          <w:i/>
          <w:lang w:val="en-US"/>
        </w:rPr>
        <w:t xml:space="preserve"> some unnecessary TPMI index</w:t>
      </w:r>
      <w:r w:rsidR="00AC7524">
        <w:rPr>
          <w:b/>
          <w:i/>
          <w:lang w:val="en-US"/>
        </w:rPr>
        <w:t>es</w:t>
      </w:r>
      <w:r>
        <w:rPr>
          <w:b/>
          <w:i/>
          <w:lang w:val="en-US"/>
        </w:rPr>
        <w:t>.</w:t>
      </w:r>
    </w:p>
    <w:p w:rsidR="00A058E7" w:rsidRPr="00A058E7" w:rsidRDefault="00A058E7" w:rsidP="00AA2D97">
      <w:pPr>
        <w:jc w:val="both"/>
        <w:rPr>
          <w:lang w:val="en-US"/>
        </w:rPr>
      </w:pPr>
    </w:p>
    <w:p w:rsidR="00B22DA6" w:rsidRDefault="00B22DA6" w:rsidP="00B22DA6">
      <w:pPr>
        <w:pStyle w:val="Heading1"/>
        <w:numPr>
          <w:ilvl w:val="0"/>
          <w:numId w:val="0"/>
        </w:numPr>
        <w:rPr>
          <w:rFonts w:eastAsia="宋体"/>
          <w:lang w:eastAsia="zh-CN"/>
        </w:rPr>
      </w:pPr>
      <w:r>
        <w:t>References</w:t>
      </w:r>
    </w:p>
    <w:p w:rsidR="00D15885" w:rsidRDefault="00E3209C" w:rsidP="00E3209C">
      <w:pPr>
        <w:numPr>
          <w:ilvl w:val="0"/>
          <w:numId w:val="10"/>
        </w:numPr>
        <w:tabs>
          <w:tab w:val="clear" w:pos="720"/>
          <w:tab w:val="num" w:pos="426"/>
        </w:tabs>
        <w:ind w:left="426" w:hanging="426"/>
      </w:pPr>
      <w:r w:rsidRPr="00E3209C">
        <w:t>RP-220987 New WID Further RF requirements enhancement for NR frequency range 1 (FR1)</w:t>
      </w:r>
    </w:p>
    <w:sectPr w:rsidR="00D15885"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FC9" w:rsidRDefault="00D15FC9" w:rsidP="0052762B">
      <w:r>
        <w:separator/>
      </w:r>
    </w:p>
  </w:endnote>
  <w:endnote w:type="continuationSeparator" w:id="0">
    <w:p w:rsidR="00D15FC9" w:rsidRDefault="00D15FC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FC9" w:rsidRDefault="00D15FC9" w:rsidP="0052762B">
      <w:r>
        <w:separator/>
      </w:r>
    </w:p>
  </w:footnote>
  <w:footnote w:type="continuationSeparator" w:id="0">
    <w:p w:rsidR="00D15FC9" w:rsidRDefault="00D15FC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1"/>
  </w:num>
  <w:num w:numId="3">
    <w:abstractNumId w:val="13"/>
  </w:num>
  <w:num w:numId="4">
    <w:abstractNumId w:val="20"/>
  </w:num>
  <w:num w:numId="5">
    <w:abstractNumId w:val="18"/>
  </w:num>
  <w:num w:numId="6">
    <w:abstractNumId w:val="9"/>
  </w:num>
  <w:num w:numId="7">
    <w:abstractNumId w:val="16"/>
  </w:num>
  <w:num w:numId="8">
    <w:abstractNumId w:val="24"/>
  </w:num>
  <w:num w:numId="9">
    <w:abstractNumId w:val="8"/>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2"/>
  </w:num>
  <w:num w:numId="14">
    <w:abstractNumId w:val="17"/>
  </w:num>
  <w:num w:numId="15">
    <w:abstractNumId w:val="1"/>
  </w:num>
  <w:num w:numId="16">
    <w:abstractNumId w:val="10"/>
  </w:num>
  <w:num w:numId="17">
    <w:abstractNumId w:val="19"/>
  </w:num>
  <w:num w:numId="18">
    <w:abstractNumId w:val="6"/>
  </w:num>
  <w:num w:numId="19">
    <w:abstractNumId w:val="5"/>
  </w:num>
  <w:num w:numId="20">
    <w:abstractNumId w:val="2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2"/>
  </w:num>
  <w:num w:numId="24">
    <w:abstractNumId w:val="4"/>
  </w:num>
  <w:num w:numId="2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D27"/>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5B95"/>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8BC"/>
    <w:rsid w:val="00190C7D"/>
    <w:rsid w:val="001913A3"/>
    <w:rsid w:val="00192290"/>
    <w:rsid w:val="00192CF8"/>
    <w:rsid w:val="00192F75"/>
    <w:rsid w:val="00192FD9"/>
    <w:rsid w:val="001933B6"/>
    <w:rsid w:val="00193508"/>
    <w:rsid w:val="00193752"/>
    <w:rsid w:val="00193B93"/>
    <w:rsid w:val="00193F63"/>
    <w:rsid w:val="0019457E"/>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841"/>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672"/>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2"/>
    <w:rsid w:val="00221594"/>
    <w:rsid w:val="002219F0"/>
    <w:rsid w:val="00222383"/>
    <w:rsid w:val="00222AC9"/>
    <w:rsid w:val="00222AD6"/>
    <w:rsid w:val="00223B92"/>
    <w:rsid w:val="00223E02"/>
    <w:rsid w:val="0022403E"/>
    <w:rsid w:val="0022434E"/>
    <w:rsid w:val="00224439"/>
    <w:rsid w:val="002245D6"/>
    <w:rsid w:val="002245F6"/>
    <w:rsid w:val="002246B0"/>
    <w:rsid w:val="00224853"/>
    <w:rsid w:val="0022506C"/>
    <w:rsid w:val="0022571C"/>
    <w:rsid w:val="00225CA5"/>
    <w:rsid w:val="00225E3F"/>
    <w:rsid w:val="00226E14"/>
    <w:rsid w:val="0022753F"/>
    <w:rsid w:val="002275D2"/>
    <w:rsid w:val="00230493"/>
    <w:rsid w:val="00231670"/>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9E1"/>
    <w:rsid w:val="00270A8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DAE"/>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25F"/>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39"/>
    <w:rsid w:val="003B57E4"/>
    <w:rsid w:val="003B5923"/>
    <w:rsid w:val="003B5F06"/>
    <w:rsid w:val="003B5F9C"/>
    <w:rsid w:val="003B5F9D"/>
    <w:rsid w:val="003B7022"/>
    <w:rsid w:val="003B710D"/>
    <w:rsid w:val="003B7116"/>
    <w:rsid w:val="003B763B"/>
    <w:rsid w:val="003B7B6A"/>
    <w:rsid w:val="003B7C1F"/>
    <w:rsid w:val="003B7D4B"/>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528"/>
    <w:rsid w:val="0046566A"/>
    <w:rsid w:val="00465AE3"/>
    <w:rsid w:val="0046639A"/>
    <w:rsid w:val="00467BD5"/>
    <w:rsid w:val="00467EA0"/>
    <w:rsid w:val="00471190"/>
    <w:rsid w:val="004711EF"/>
    <w:rsid w:val="004716C3"/>
    <w:rsid w:val="00471F19"/>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0FC"/>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B56"/>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B4C"/>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01"/>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275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2D50"/>
    <w:rsid w:val="00863247"/>
    <w:rsid w:val="00863301"/>
    <w:rsid w:val="00863423"/>
    <w:rsid w:val="00863426"/>
    <w:rsid w:val="008637C3"/>
    <w:rsid w:val="00864689"/>
    <w:rsid w:val="00865E57"/>
    <w:rsid w:val="00865F3C"/>
    <w:rsid w:val="008666D1"/>
    <w:rsid w:val="008667B8"/>
    <w:rsid w:val="00867928"/>
    <w:rsid w:val="00867ACA"/>
    <w:rsid w:val="00867E17"/>
    <w:rsid w:val="00870A83"/>
    <w:rsid w:val="00871644"/>
    <w:rsid w:val="00872029"/>
    <w:rsid w:val="0087220C"/>
    <w:rsid w:val="008724BA"/>
    <w:rsid w:val="00872543"/>
    <w:rsid w:val="00874211"/>
    <w:rsid w:val="008752FB"/>
    <w:rsid w:val="00875455"/>
    <w:rsid w:val="00875966"/>
    <w:rsid w:val="0087626A"/>
    <w:rsid w:val="00876456"/>
    <w:rsid w:val="008764E1"/>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104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8E2"/>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67B"/>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2C65"/>
    <w:rsid w:val="009231BB"/>
    <w:rsid w:val="0092342A"/>
    <w:rsid w:val="009234A6"/>
    <w:rsid w:val="00923B5A"/>
    <w:rsid w:val="00923D36"/>
    <w:rsid w:val="00924145"/>
    <w:rsid w:val="00925225"/>
    <w:rsid w:val="00925909"/>
    <w:rsid w:val="00925E77"/>
    <w:rsid w:val="0092635A"/>
    <w:rsid w:val="00926A10"/>
    <w:rsid w:val="009271B9"/>
    <w:rsid w:val="00927744"/>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94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8E7"/>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D3C"/>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0FC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524"/>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87D"/>
    <w:rsid w:val="00B33D7B"/>
    <w:rsid w:val="00B33DBE"/>
    <w:rsid w:val="00B3408E"/>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78F"/>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58"/>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564"/>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5FC9"/>
    <w:rsid w:val="00D16B58"/>
    <w:rsid w:val="00D16CEB"/>
    <w:rsid w:val="00D176E9"/>
    <w:rsid w:val="00D17D95"/>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1F04"/>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10C"/>
    <w:rsid w:val="00D839F0"/>
    <w:rsid w:val="00D83A2D"/>
    <w:rsid w:val="00D83D14"/>
    <w:rsid w:val="00D84849"/>
    <w:rsid w:val="00D84F5D"/>
    <w:rsid w:val="00D85402"/>
    <w:rsid w:val="00D86C34"/>
    <w:rsid w:val="00D86C6C"/>
    <w:rsid w:val="00D9009F"/>
    <w:rsid w:val="00D91563"/>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9B5"/>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09C"/>
    <w:rsid w:val="00E32B29"/>
    <w:rsid w:val="00E331E0"/>
    <w:rsid w:val="00E33717"/>
    <w:rsid w:val="00E33A4B"/>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3E3"/>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84"/>
    <w:rsid w:val="00EB074F"/>
    <w:rsid w:val="00EB0760"/>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2DBC"/>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90B"/>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28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22E9"/>
    <w:rsid w:val="00FD2720"/>
    <w:rsid w:val="00FD2727"/>
    <w:rsid w:val="00FD28F6"/>
    <w:rsid w:val="00FD2E78"/>
    <w:rsid w:val="00FD36AA"/>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C2C"/>
    <w:rsid w:val="00FE6C70"/>
    <w:rsid w:val="00FE6F47"/>
    <w:rsid w:val="00FE72B2"/>
    <w:rsid w:val="00FE7BA4"/>
    <w:rsid w:val="00FE7E70"/>
    <w:rsid w:val="00FF0734"/>
    <w:rsid w:val="00FF0BCD"/>
    <w:rsid w:val="00FF0C84"/>
    <w:rsid w:val="00FF12D7"/>
    <w:rsid w:val="00FF226E"/>
    <w:rsid w:val="00FF23C7"/>
    <w:rsid w:val="00FF2C5F"/>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698A7"/>
  <w15:chartTrackingRefBased/>
  <w15:docId w15:val="{333CB62A-65D6-4818-AFFE-32B5B14B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58E7"/>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1">
    <w:name w:val="Char Char241"/>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523633057">
          <w:marLeft w:val="1800"/>
          <w:marRight w:val="0"/>
          <w:marTop w:val="240"/>
          <w:marBottom w:val="0"/>
          <w:divBdr>
            <w:top w:val="none" w:sz="0" w:space="0" w:color="auto"/>
            <w:left w:val="none" w:sz="0" w:space="0" w:color="auto"/>
            <w:bottom w:val="none" w:sz="0" w:space="0" w:color="auto"/>
            <w:right w:val="none" w:sz="0" w:space="0" w:color="auto"/>
          </w:divBdr>
        </w:div>
        <w:div w:id="650599403">
          <w:marLeft w:val="547"/>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1209806520">
          <w:marLeft w:val="547"/>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89E9F-997F-4847-A986-4E906CD05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291</TotalTime>
  <Pages>3</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9</cp:revision>
  <cp:lastPrinted>2010-01-07T02:23:00Z</cp:lastPrinted>
  <dcterms:created xsi:type="dcterms:W3CDTF">2022-08-09T11:06:00Z</dcterms:created>
  <dcterms:modified xsi:type="dcterms:W3CDTF">2022-08-10T16:19:00Z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(3)BBNCPJx27oHJ8QLk/6QKwCB3sldT/o0QUh6A9pAmybizYWPB2LEg5odIeFw43en+OqVX8xJH
M9WnSoELFwADIUuzQr6E21IRv0YZUtNQwPEe1x/bpbfJmXg0e8DxareSREN5AWHsvE/bE+Q3
sET91AOls1/+XeZ26xfRaQgR3f1FrjRMNgTwiQJgaakeyhR7BjYroyrs1BOMfUyhNfoaOsgy
9YMD7+t74Vl5avQV5i</vt:lpwstr>
  </property>
  <property fmtid="{D5CDD505-2E9C-101B-9397-08002B2CF9AE}" pid="15" name="_2015_ms_pID_725343_00">
    <vt:lpwstr>_2015_ms_pID_725343</vt:lpwstr>
  </property>
  <property fmtid="{D5CDD505-2E9C-101B-9397-08002B2CF9AE}" pid="16" name="_2015_ms_pID_7253431">
    <vt:lpwstr>k4YWBD5+TshrELHplAe5M4oduE/aF9EGj2a03S1NmaIpI64Zz3HxJJ
dRF0DvdrSFo9GzKMz2CQkkrTf7nlgsq+qG4aGuuOB4wSQlNuHDNuDH/jAfO+4iy7ZGRSbTgw
IZaOf2nnS/IuSvgMwxx3vlh1ZT6nFkmdhQZ1jEOFTKhGBhx0b78Ym+x8OHK2+jlPlxfL8SJw
z99xG6prz53/Jb66IeElVEiNFNr5uNVM6+zE</vt:lpwstr>
  </property>
  <property fmtid="{D5CDD505-2E9C-101B-9397-08002B2CF9AE}" pid="17" name="_2015_ms_pID_7253431_00">
    <vt:lpwstr>_2015_ms_pID_7253431</vt:lpwstr>
  </property>
  <property fmtid="{D5CDD505-2E9C-101B-9397-08002B2CF9AE}" pid="18" name="_2015_ms_pID_7253432">
    <vt:lpwstr>8w==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